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A5BD3F5" w:rsidR="00F92268" w:rsidRPr="00FF66BF" w:rsidRDefault="004F6EDB" w:rsidP="00F246C7">
            <w:pPr>
              <w:pStyle w:val="RefTableHeader"/>
            </w:pPr>
            <w:r w:rsidRPr="004F6EDB">
              <w:t>2516-A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48FC1DD" w:rsidR="004B15BB" w:rsidRPr="00BD1CC1" w:rsidRDefault="00054ABF" w:rsidP="007E5C16">
      <w:pPr>
        <w:pStyle w:val="Heading1"/>
      </w:pPr>
      <w:r>
        <w:t>Specialty Guideline</w:t>
      </w:r>
      <w:r w:rsidR="003269EB">
        <w:t xml:space="preserve"> Management</w:t>
      </w:r>
      <w:r w:rsidR="008C54D9" w:rsidRPr="00BD1CC1">
        <w:br/>
      </w:r>
      <w:r w:rsidR="00CD6EF7" w:rsidRPr="00CD6EF7">
        <w:t>S</w:t>
      </w:r>
      <w:r w:rsidR="0024575F">
        <w:t>ymdeko</w:t>
      </w:r>
    </w:p>
    <w:p w14:paraId="78861C92" w14:textId="7A0D1DAA" w:rsidR="00203468" w:rsidRPr="00BD1CC1" w:rsidRDefault="00C64534" w:rsidP="008E0F0D">
      <w:pPr>
        <w:pStyle w:val="Heading2"/>
      </w:pPr>
      <w:r w:rsidRPr="00BD1CC1">
        <w:t xml:space="preserve">Products Referenced by this </w:t>
      </w:r>
      <w:r w:rsidR="00501602" w:rsidRPr="00BD1CC1">
        <w:t>Document</w:t>
      </w:r>
    </w:p>
    <w:p w14:paraId="5455152B" w14:textId="4AAC08F5"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269EB">
        <w:t>Over-the-counter (</w:t>
      </w:r>
      <w:r w:rsidRPr="00BD1CC1">
        <w:t>OTC</w:t>
      </w:r>
      <w:r w:rsidR="003269EB">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5469B98" w:rsidR="00585FFF" w:rsidRPr="00BD1CC1" w:rsidRDefault="00392A82" w:rsidP="00E82ABA">
            <w:pPr>
              <w:pStyle w:val="TableDataUnpadded"/>
            </w:pPr>
            <w:r w:rsidRPr="007B4BAC">
              <w:t>S</w:t>
            </w:r>
            <w:r>
              <w:t>ymdeko</w:t>
            </w:r>
          </w:p>
        </w:tc>
        <w:tc>
          <w:tcPr>
            <w:tcW w:w="5595" w:type="dxa"/>
          </w:tcPr>
          <w:p w14:paraId="7E26A004" w14:textId="3A2A275A" w:rsidR="00585FFF" w:rsidRPr="00BD1CC1" w:rsidRDefault="00826332" w:rsidP="00E82ABA">
            <w:pPr>
              <w:pStyle w:val="TableDataUnpadded"/>
            </w:pPr>
            <w:r w:rsidRPr="00826332">
              <w:t>tezacaftor/ivacaftor</w:t>
            </w:r>
          </w:p>
        </w:tc>
      </w:tr>
    </w:tbl>
    <w:bookmarkEnd w:id="0"/>
    <w:p w14:paraId="14CE6108" w14:textId="2CCD3E9B" w:rsidR="00FC1AAD" w:rsidRPr="00460F4A" w:rsidRDefault="00ED052F" w:rsidP="00FF66BF">
      <w:pPr>
        <w:pStyle w:val="Heading2"/>
        <w:tabs>
          <w:tab w:val="left" w:pos="9195"/>
        </w:tabs>
      </w:pPr>
      <w:r>
        <w:t>Indications</w:t>
      </w:r>
    </w:p>
    <w:p w14:paraId="134B5687" w14:textId="141FA8BA" w:rsidR="00ED052F" w:rsidRPr="00BD1CC1" w:rsidRDefault="00ED052F" w:rsidP="00ED052F">
      <w:pPr>
        <w:pStyle w:val="Heading3"/>
        <w:keepNext w:val="0"/>
      </w:pPr>
      <w:r w:rsidRPr="00BD1CC1">
        <w:t>FDA-approved Indication</w:t>
      </w:r>
      <w:r w:rsidR="002763FF" w:rsidRPr="00B25A2F">
        <w:rPr>
          <w:vertAlign w:val="superscript"/>
        </w:rPr>
        <w:t>1</w:t>
      </w:r>
    </w:p>
    <w:p w14:paraId="110F722D" w14:textId="36686239" w:rsidR="00707F7B" w:rsidRDefault="00707F7B" w:rsidP="00707F7B">
      <w:pPr>
        <w:pStyle w:val="BodyText"/>
      </w:pPr>
      <w:r>
        <w:t xml:space="preserve">Symdeko is indicated for the treatment of cystic fibrosis (CF) in patients </w:t>
      </w:r>
      <w:proofErr w:type="gramStart"/>
      <w:r>
        <w:t>age</w:t>
      </w:r>
      <w:proofErr w:type="gramEnd"/>
      <w:r>
        <w:t xml:space="preserve"> 6 years and older who are homozygous for the F508del mutation or who have at least one mutation in the cystic fibrosis transmembrane conductance regulator (CFTR) gene that is responsive to tezacaftor/ivacaftor based on in vitro data and/or clinical evidence.</w:t>
      </w:r>
    </w:p>
    <w:p w14:paraId="2CC0512C" w14:textId="5B517B94" w:rsidR="00707F7B" w:rsidRDefault="00707F7B" w:rsidP="00707F7B">
      <w:pPr>
        <w:pStyle w:val="BodyText"/>
      </w:pPr>
      <w:r>
        <w:t>If the patient’s genotype is unknown, an FDA-cleared CF mutation test should be used to detect the presence of CFTR mutation followed by verification with bi-directional sequencing when recommended by the mutation test instructions for use.</w:t>
      </w:r>
    </w:p>
    <w:p w14:paraId="0D5A9DD5" w14:textId="02CB4B62" w:rsidR="009A5649" w:rsidRPr="00BD1CC1" w:rsidRDefault="00707F7B" w:rsidP="00707F7B">
      <w:pPr>
        <w:pStyle w:val="BodyText"/>
        <w:rPr>
          <w:rFonts w:eastAsia="Arial"/>
        </w:rPr>
      </w:pPr>
      <w:r>
        <w:t>All other indications are considered experimental/investigational and are not medically necessary.</w:t>
      </w:r>
    </w:p>
    <w:p w14:paraId="36381B6D" w14:textId="5914A8FA" w:rsidR="000D2496" w:rsidRPr="00BD1CC1" w:rsidRDefault="000D2496" w:rsidP="000D2496">
      <w:pPr>
        <w:pStyle w:val="Heading2"/>
      </w:pPr>
      <w:r w:rsidRPr="00BD1CC1">
        <w:t>Documentation</w:t>
      </w:r>
    </w:p>
    <w:p w14:paraId="5D4CD6F7" w14:textId="4AB8E481" w:rsidR="00021C51" w:rsidRPr="00BD1CC1" w:rsidRDefault="00290DBF" w:rsidP="0012768E">
      <w:pPr>
        <w:pStyle w:val="BodyText"/>
      </w:pPr>
      <w:r w:rsidRPr="00290DBF">
        <w:t>Submission of the following information is necessary to initiate the prior authorization review: For initial requests, genetic testing report confirming the presence of the appropriate CFTR gene mutation.</w:t>
      </w:r>
    </w:p>
    <w:p w14:paraId="4A5B15F8" w14:textId="098B87E3" w:rsidR="00006174" w:rsidRPr="00AA1E6A" w:rsidRDefault="00006174" w:rsidP="00651D59">
      <w:pPr>
        <w:pStyle w:val="Heading2"/>
        <w:tabs>
          <w:tab w:val="left" w:pos="9977"/>
        </w:tabs>
      </w:pPr>
      <w:r w:rsidRPr="00BD1CC1">
        <w:lastRenderedPageBreak/>
        <w:t>Prescriber Specialties</w:t>
      </w:r>
    </w:p>
    <w:p w14:paraId="065B091E" w14:textId="7174B05D" w:rsidR="00006174" w:rsidRPr="00BD1CC1" w:rsidRDefault="00563757" w:rsidP="00815B51">
      <w:r w:rsidRPr="00563757">
        <w:t>This medication must be prescribed by or in consultation with a pulmonologist.</w:t>
      </w:r>
    </w:p>
    <w:p w14:paraId="50A38FBA" w14:textId="772F1CF3" w:rsidR="00FE0C63" w:rsidRDefault="00685107" w:rsidP="00E050E1">
      <w:pPr>
        <w:pStyle w:val="Heading2"/>
        <w:rPr>
          <w:color w:val="C00000"/>
        </w:rPr>
      </w:pPr>
      <w:r>
        <w:t>Coverage Criteria</w:t>
      </w:r>
    </w:p>
    <w:p w14:paraId="23398F73" w14:textId="107D04FE" w:rsidR="00C127CC" w:rsidRPr="00E50268" w:rsidRDefault="00C127CC" w:rsidP="00C127CC">
      <w:pPr>
        <w:pStyle w:val="BodyText"/>
        <w:rPr>
          <w:sz w:val="32"/>
          <w:szCs w:val="32"/>
        </w:rPr>
      </w:pPr>
      <w:r w:rsidRPr="00E50268">
        <w:rPr>
          <w:sz w:val="32"/>
          <w:szCs w:val="32"/>
        </w:rPr>
        <w:t>Cystic Fibrosis</w:t>
      </w:r>
      <w:r w:rsidR="00864F63" w:rsidRPr="00E50268">
        <w:rPr>
          <w:sz w:val="32"/>
          <w:szCs w:val="32"/>
          <w:vertAlign w:val="superscript"/>
        </w:rPr>
        <w:t>1-3</w:t>
      </w:r>
    </w:p>
    <w:p w14:paraId="7240EA58" w14:textId="77777777" w:rsidR="00C127CC" w:rsidRDefault="00C127CC" w:rsidP="00C127CC">
      <w:pPr>
        <w:pStyle w:val="BodyText"/>
      </w:pPr>
      <w:r>
        <w:t xml:space="preserve">Authorization of 12 months may be granted for treatment of cystic fibrosis when </w:t>
      </w:r>
      <w:proofErr w:type="gramStart"/>
      <w:r>
        <w:t>all of</w:t>
      </w:r>
      <w:proofErr w:type="gramEnd"/>
      <w:r>
        <w:t xml:space="preserve"> the following criteria are met:</w:t>
      </w:r>
    </w:p>
    <w:p w14:paraId="3F6B1B51" w14:textId="77777777" w:rsidR="00C127CC" w:rsidRDefault="00C127CC" w:rsidP="00366933">
      <w:pPr>
        <w:pStyle w:val="ListParagraph"/>
      </w:pPr>
      <w:r>
        <w:t>Genetic testing was conducted to detect a mutation in the CFTR gene.</w:t>
      </w:r>
    </w:p>
    <w:p w14:paraId="0B03DB41" w14:textId="7A03F466" w:rsidR="00C127CC" w:rsidRDefault="00C127CC" w:rsidP="00366933">
      <w:pPr>
        <w:pStyle w:val="ListParagraph"/>
      </w:pPr>
      <w:r>
        <w:t>The member is homozygous for the F508del mutation</w:t>
      </w:r>
      <w:r w:rsidR="00860932">
        <w:t xml:space="preserve"> (positive for the F508del mutation on both alleles)</w:t>
      </w:r>
      <w:r>
        <w:t>, or the member has one of the following mutations in the CFTR gene: A120T, A234D, A349V, A455E, A554E, A1006E, A1067T, D110E, D110H, D192G, D443Y, D443Y;G576A;R668C, D579G, D614G, D836Y, D924N, D979V, D1152H, D1270N, E56K, E60K, E92K, E116K, E193K, E403D, E588V, E822K, E831X, F191V, F311del, F311L, F508C, F508C;S1251N, F575Y, F1016S, F1052V, F1074L, F1099L, G126D, G178E, G178R, G194R, G194V, G314E, G551D, G551S, G576A, G576A;R668C, G622D, G970D, G1069R, G1244E, G1249R, G1349D, H939R, H1054D, H1375P, I148T, I175V, I336K, I601F, I618T, I807M, I980K, I1027T, I1139V, I1269N, I1366N, K1060T, L15P, L206W, L320V, L346P, L967S, L997F, L1324P, L1335P, L1480P, M152V, M265R, M952I, M952T, P5L, P67L, P205S, Q98R, Q237E, Q237H, Q359R, Q1291R, R31L, R74Q, R74W, R74W;D1270N, R74W;V201M, R74W;V201M;D1270N, R75Q, R117C, R117G, R117H, R117L, R117P, R170H, R258G, R334L, R334Q, R347H, R347L, R347P, R352Q, R352W, R553Q, R668C, R751L, R792G, R933G, R1066H, R1070Q, R1070W, R1162L, R1283M, R1283S, S549N, S549R, S589N, S737F, S912L, S945L, S977F, S1159F, S1159P, S1251N, S1255P, T338I, T1036N, T1053I, V201M, V232D, V562I, V754M, V1153E, V1240G, V1293G, W1282R, Y109N, Y161S, Y1014C, Y1032C, 546insCTA, 711+3A</w:t>
      </w:r>
      <w:r>
        <w:rPr>
          <w:rFonts w:ascii="Arial" w:hAnsi="Arial"/>
        </w:rPr>
        <w:t>→</w:t>
      </w:r>
      <w:r>
        <w:t>G, 2789+5G</w:t>
      </w:r>
      <w:r>
        <w:rPr>
          <w:rFonts w:ascii="Arial" w:hAnsi="Arial"/>
        </w:rPr>
        <w:t>→</w:t>
      </w:r>
      <w:r>
        <w:t>A, 3272-26A</w:t>
      </w:r>
      <w:r>
        <w:rPr>
          <w:rFonts w:ascii="Arial" w:hAnsi="Arial"/>
        </w:rPr>
        <w:t>→</w:t>
      </w:r>
      <w:r>
        <w:t>G, 3849+10kbC</w:t>
      </w:r>
      <w:r>
        <w:rPr>
          <w:rFonts w:ascii="Arial" w:hAnsi="Arial"/>
        </w:rPr>
        <w:t>→</w:t>
      </w:r>
      <w:r>
        <w:t>T.</w:t>
      </w:r>
    </w:p>
    <w:p w14:paraId="2DFF0483" w14:textId="77777777" w:rsidR="00C127CC" w:rsidRDefault="00C127CC" w:rsidP="00366933">
      <w:pPr>
        <w:pStyle w:val="ListParagraph"/>
      </w:pPr>
      <w:r>
        <w:t>The member is at least 6 years of age.</w:t>
      </w:r>
    </w:p>
    <w:p w14:paraId="3A643EC3" w14:textId="52C7F093" w:rsidR="00A501AC" w:rsidRPr="00BD1CC1" w:rsidRDefault="00A501AC" w:rsidP="00A501AC">
      <w:pPr>
        <w:pStyle w:val="Heading2"/>
      </w:pPr>
      <w:r w:rsidRPr="00BD1CC1">
        <w:t>Continuation of Therapy</w:t>
      </w:r>
    </w:p>
    <w:p w14:paraId="32C8905D" w14:textId="13FB1AF3" w:rsidR="00A501AC" w:rsidRDefault="00CF7BFC" w:rsidP="003D46B0">
      <w:pPr>
        <w:pStyle w:val="BodyText"/>
      </w:pPr>
      <w:r w:rsidRPr="00CF7BFC">
        <w:t xml:space="preserve">Authorization of 12 months may be granted for continued treatment in members requesting reauthorization for an indication listed in </w:t>
      </w:r>
      <w:r w:rsidR="008A53EB">
        <w:t xml:space="preserve">the </w:t>
      </w:r>
      <w:r w:rsidR="00864F63">
        <w:t>coverage criteria</w:t>
      </w:r>
      <w:r w:rsidR="008A53EB">
        <w:t xml:space="preserve"> section</w:t>
      </w:r>
      <w:r w:rsidR="00864F63" w:rsidRPr="00CF7BFC">
        <w:t xml:space="preserve"> </w:t>
      </w:r>
      <w:r w:rsidRPr="00CF7BFC">
        <w:t>who are experiencing benefit from therapy as evidenced by disease stability or disease improvement (e.g., improvement in FEV1 from baseline)</w:t>
      </w:r>
      <w:r w:rsidR="00AF0706">
        <w:t>.</w:t>
      </w:r>
    </w:p>
    <w:p w14:paraId="1D1DFC0B" w14:textId="77777777" w:rsidR="00E90043" w:rsidRPr="000E0356" w:rsidRDefault="00E90043" w:rsidP="00E90043">
      <w:pPr>
        <w:pStyle w:val="Heading2"/>
        <w:rPr>
          <w:vertAlign w:val="superscript"/>
        </w:rPr>
      </w:pPr>
      <w:r w:rsidRPr="000E0356">
        <w:t>Other</w:t>
      </w:r>
    </w:p>
    <w:p w14:paraId="5C61559B" w14:textId="01EC742A" w:rsidR="00E90043" w:rsidRPr="00E90043" w:rsidRDefault="00E90043" w:rsidP="003D46B0">
      <w:pPr>
        <w:pStyle w:val="BodyText"/>
        <w:rPr>
          <w:color w:val="000000"/>
          <w:shd w:val="clear" w:color="auto" w:fill="FFFFFF"/>
        </w:rPr>
      </w:pPr>
      <w:r>
        <w:rPr>
          <w:rStyle w:val="normaltextrun"/>
          <w:color w:val="000000"/>
          <w:shd w:val="clear" w:color="auto" w:fill="FFFFFF"/>
        </w:rPr>
        <w:t>Symdeko will not be used in combination with another CFTR modulator for the treatment of cystic fibrosis (e.g., Kalydeco, Trikafta).</w:t>
      </w:r>
    </w:p>
    <w:p w14:paraId="10DA4309" w14:textId="07DB77B1" w:rsidR="00FF66BF" w:rsidRPr="008D1B34" w:rsidRDefault="00FF66BF" w:rsidP="00651D59">
      <w:pPr>
        <w:pStyle w:val="Heading2"/>
        <w:tabs>
          <w:tab w:val="clear" w:pos="2880"/>
          <w:tab w:val="left" w:pos="9360"/>
        </w:tabs>
      </w:pPr>
      <w:bookmarkStart w:id="1" w:name="S2.2"/>
      <w:bookmarkStart w:id="2" w:name="section-2.2"/>
      <w:bookmarkStart w:id="3" w:name="section-2.2.1"/>
      <w:bookmarkStart w:id="4" w:name="section-2.2.2"/>
      <w:bookmarkEnd w:id="1"/>
      <w:bookmarkEnd w:id="2"/>
      <w:bookmarkEnd w:id="3"/>
      <w:bookmarkEnd w:id="4"/>
      <w:r w:rsidRPr="008D1B34">
        <w:lastRenderedPageBreak/>
        <w:t>References</w:t>
      </w:r>
    </w:p>
    <w:p w14:paraId="61538A7E" w14:textId="4B966281" w:rsidR="00992FA5" w:rsidRDefault="00992FA5" w:rsidP="00992FA5">
      <w:pPr>
        <w:pStyle w:val="ReferenceOrdered"/>
      </w:pPr>
      <w:r>
        <w:t xml:space="preserve">Symdeko [package insert]. Boston, MA: Vertex Pharmaceuticals </w:t>
      </w:r>
      <w:r w:rsidR="00695978" w:rsidRPr="00695978">
        <w:t>Incorporated; August 2023</w:t>
      </w:r>
      <w:r>
        <w:t>.</w:t>
      </w:r>
    </w:p>
    <w:p w14:paraId="5CF4EFBE" w14:textId="02F156B9" w:rsidR="00992FA5" w:rsidRDefault="00992FA5" w:rsidP="00992FA5">
      <w:pPr>
        <w:pStyle w:val="ReferenceOrdered"/>
      </w:pPr>
      <w:r>
        <w:t xml:space="preserve">Rowe SM, </w:t>
      </w:r>
      <w:proofErr w:type="spellStart"/>
      <w:r>
        <w:t>Daines</w:t>
      </w:r>
      <w:proofErr w:type="spellEnd"/>
      <w:r>
        <w:t xml:space="preserve"> C, </w:t>
      </w:r>
      <w:proofErr w:type="spellStart"/>
      <w:r>
        <w:t>Ringshausen</w:t>
      </w:r>
      <w:proofErr w:type="spellEnd"/>
      <w:r>
        <w:t xml:space="preserve"> FC, et al. Tezacaftor-</w:t>
      </w:r>
      <w:r w:rsidR="00D71B7A">
        <w:t xml:space="preserve">ivacaftor </w:t>
      </w:r>
      <w:r>
        <w:t xml:space="preserve">in </w:t>
      </w:r>
      <w:r w:rsidR="008D5F86">
        <w:t xml:space="preserve">residual function </w:t>
      </w:r>
      <w:r w:rsidR="00B03693">
        <w:t xml:space="preserve">heterozygotes </w:t>
      </w:r>
      <w:r>
        <w:t xml:space="preserve">with </w:t>
      </w:r>
      <w:r w:rsidR="00B03693">
        <w:t>cystic fibrosis</w:t>
      </w:r>
      <w:r>
        <w:t>. N Engl J Med. 2017;377:2024-2035.</w:t>
      </w:r>
      <w:r w:rsidR="002D7CED" w:rsidRPr="002D7CED">
        <w:rPr>
          <w:rFonts w:ascii="Arial" w:hAnsi="Arial"/>
          <w:color w:val="000000"/>
          <w:sz w:val="20"/>
          <w:szCs w:val="20"/>
          <w:shd w:val="clear" w:color="auto" w:fill="FFFFFF"/>
        </w:rPr>
        <w:t xml:space="preserve"> </w:t>
      </w:r>
      <w:proofErr w:type="spellStart"/>
      <w:r w:rsidR="002D7CED" w:rsidRPr="002D7CED">
        <w:t>doi</w:t>
      </w:r>
      <w:proofErr w:type="spellEnd"/>
      <w:r w:rsidR="002D7CED" w:rsidRPr="002D7CED">
        <w:t>: 10.1056/NEJMoa1709847</w:t>
      </w:r>
    </w:p>
    <w:p w14:paraId="26E25A0F" w14:textId="7FDC6218" w:rsidR="00FF66BF" w:rsidRDefault="00992FA5" w:rsidP="00992FA5">
      <w:pPr>
        <w:pStyle w:val="ReferenceOrdered"/>
      </w:pPr>
      <w:r>
        <w:t>Taylor-</w:t>
      </w:r>
      <w:proofErr w:type="spellStart"/>
      <w:r>
        <w:t>Cousar</w:t>
      </w:r>
      <w:proofErr w:type="spellEnd"/>
      <w:r>
        <w:t xml:space="preserve"> JL, </w:t>
      </w:r>
      <w:proofErr w:type="spellStart"/>
      <w:r>
        <w:t>Munck</w:t>
      </w:r>
      <w:proofErr w:type="spellEnd"/>
      <w:r>
        <w:t xml:space="preserve"> A, </w:t>
      </w:r>
      <w:proofErr w:type="spellStart"/>
      <w:r>
        <w:t>McKone</w:t>
      </w:r>
      <w:proofErr w:type="spellEnd"/>
      <w:r>
        <w:t xml:space="preserve"> EF, et al. Tezacaftor–ivacaftor in patients with cystic fibrosis homozygous for Phe508del. N Engl J Med 2017;377:2013-2023.</w:t>
      </w:r>
      <w:r w:rsidR="00A32671" w:rsidRPr="00A32671">
        <w:rPr>
          <w:rFonts w:ascii="Arial" w:hAnsi="Arial"/>
          <w:sz w:val="20"/>
          <w:szCs w:val="20"/>
          <w:shd w:val="clear" w:color="auto" w:fill="FFFFFF"/>
        </w:rPr>
        <w:t xml:space="preserve"> </w:t>
      </w:r>
      <w:proofErr w:type="spellStart"/>
      <w:r w:rsidR="00A32671" w:rsidRPr="00A32671">
        <w:t>doi</w:t>
      </w:r>
      <w:proofErr w:type="spellEnd"/>
      <w:r w:rsidR="00A32671" w:rsidRPr="00A32671">
        <w:t>: 10.1056/NEJMoa1709846</w:t>
      </w:r>
    </w:p>
    <w:sectPr w:rsidR="00FF66BF" w:rsidSect="00A82FFE">
      <w:headerReference w:type="first" r:id="rId15"/>
      <w:footerReference w:type="first" r:id="rId16"/>
      <w:type w:val="continuous"/>
      <w:pgSz w:w="12240" w:h="15840" w:code="1"/>
      <w:pgMar w:top="900" w:right="720" w:bottom="990" w:left="720" w:header="720" w:footer="41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D5E3D" w14:textId="77777777" w:rsidR="00997920" w:rsidRDefault="00997920">
      <w:r>
        <w:separator/>
      </w:r>
    </w:p>
  </w:endnote>
  <w:endnote w:type="continuationSeparator" w:id="0">
    <w:p w14:paraId="1FA8187C" w14:textId="77777777" w:rsidR="00997920" w:rsidRDefault="00997920">
      <w:r>
        <w:continuationSeparator/>
      </w:r>
    </w:p>
  </w:endnote>
  <w:endnote w:type="continuationNotice" w:id="1">
    <w:p w14:paraId="770EE447" w14:textId="77777777" w:rsidR="00997920" w:rsidRDefault="00997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F1E6D" w14:textId="624E4D35" w:rsidR="00AC718F" w:rsidRPr="00EC47B6" w:rsidRDefault="00AC718F" w:rsidP="00AC718F">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E374B" w:rsidRPr="002E374B">
      <w:rPr>
        <w:rFonts w:cs="Arial"/>
        <w:noProof/>
        <w:sz w:val="16"/>
        <w:szCs w:val="16"/>
      </w:rPr>
      <w:t>Symdeko SGM</w:t>
    </w:r>
    <w:r w:rsidR="002E374B">
      <w:rPr>
        <w:rFonts w:cs="Arial"/>
        <w:noProof/>
        <w:snapToGrid w:val="0"/>
        <w:color w:val="000000"/>
        <w:sz w:val="16"/>
        <w:szCs w:val="16"/>
      </w:rPr>
      <w:t xml:space="preserve"> 2516-A </w:t>
    </w:r>
    <w:r w:rsidR="002E374B" w:rsidRPr="002E374B">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A41801">
      <w:rPr>
        <w:rFonts w:cs="Arial"/>
        <w:snapToGrid w:val="0"/>
        <w:color w:val="000000"/>
        <w:sz w:val="16"/>
      </w:rPr>
      <w:t>5</w:t>
    </w:r>
    <w:r w:rsidRPr="00EC47B6">
      <w:rPr>
        <w:rFonts w:cs="Arial"/>
        <w:snapToGrid w:val="0"/>
        <w:color w:val="000000"/>
        <w:sz w:val="16"/>
      </w:rPr>
      <w:t xml:space="preserve"> CVS Caremark. All rights reserved.</w:t>
    </w:r>
  </w:p>
  <w:p w14:paraId="7FBEFEE1" w14:textId="77777777" w:rsidR="00AC718F" w:rsidRPr="00EC47B6" w:rsidRDefault="00AC718F" w:rsidP="00AC718F">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5D450249" w14:textId="77777777" w:rsidR="00AC718F" w:rsidRPr="00F50D98" w:rsidRDefault="00AC718F" w:rsidP="00AC718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A52D04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E374B" w:rsidRPr="002E374B">
      <w:rPr>
        <w:rFonts w:cs="Arial"/>
        <w:noProof/>
        <w:sz w:val="16"/>
        <w:szCs w:val="16"/>
      </w:rPr>
      <w:t>Symdeko</w:t>
    </w:r>
    <w:r w:rsidR="002E374B">
      <w:rPr>
        <w:rFonts w:cs="Arial"/>
        <w:noProof/>
        <w:snapToGrid w:val="0"/>
        <w:color w:val="000000"/>
        <w:sz w:val="16"/>
        <w:szCs w:val="16"/>
      </w:rPr>
      <w:t xml:space="preserve"> SGM 2516-A </w:t>
    </w:r>
    <w:r w:rsidR="002E374B" w:rsidRPr="002E374B">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A41801">
      <w:rPr>
        <w:rFonts w:cs="Arial"/>
        <w:snapToGrid w:val="0"/>
        <w:color w:val="000000"/>
        <w:sz w:val="16"/>
      </w:rPr>
      <w:t>5</w:t>
    </w:r>
    <w:r w:rsidRPr="00EC47B6">
      <w:rPr>
        <w:rFonts w:cs="Arial"/>
        <w:snapToGrid w:val="0"/>
        <w:color w:val="000000"/>
        <w:sz w:val="16"/>
      </w:rPr>
      <w:t xml:space="preserve"> CVS Caremark. All rights reserved.</w:t>
    </w:r>
  </w:p>
  <w:p w14:paraId="39BFE579" w14:textId="05A3DBD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DB6229E" w:rsidR="00ED04EC" w:rsidRPr="00F50D98" w:rsidRDefault="00F50D98" w:rsidP="00B25A2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2270B" w14:textId="77777777" w:rsidR="00997920" w:rsidRDefault="00997920">
      <w:r>
        <w:separator/>
      </w:r>
    </w:p>
  </w:footnote>
  <w:footnote w:type="continuationSeparator" w:id="0">
    <w:p w14:paraId="45E5FF6D" w14:textId="77777777" w:rsidR="00997920" w:rsidRDefault="00997920">
      <w:r>
        <w:continuationSeparator/>
      </w:r>
    </w:p>
  </w:footnote>
  <w:footnote w:type="continuationNotice" w:id="1">
    <w:p w14:paraId="381FB4A8" w14:textId="77777777" w:rsidR="00997920" w:rsidRDefault="009979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514E29C" w:rsidR="00ED04EC" w:rsidRPr="00235C87" w:rsidRDefault="002C0F08" w:rsidP="00ED04EC">
          <w:pPr>
            <w:pStyle w:val="Header"/>
            <w:rPr>
              <w:rFonts w:ascii="Arial" w:hAnsi="Arial" w:cs="Arial"/>
              <w:color w:val="FF0000"/>
              <w:sz w:val="16"/>
              <w:szCs w:val="13"/>
            </w:rPr>
          </w:pPr>
          <w:r w:rsidRPr="00651D59">
            <w:rPr>
              <w:sz w:val="16"/>
              <w:szCs w:val="13"/>
            </w:rPr>
            <w:t>2516-A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7FE30BF"/>
    <w:multiLevelType w:val="hybridMultilevel"/>
    <w:tmpl w:val="A7E81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2"/>
  </w:num>
  <w:num w:numId="3" w16cid:durableId="611589570">
    <w:abstractNumId w:val="1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4"/>
  </w:num>
  <w:num w:numId="18" w16cid:durableId="299724409">
    <w:abstractNumId w:val="19"/>
  </w:num>
  <w:num w:numId="19" w16cid:durableId="214585573">
    <w:abstractNumId w:val="14"/>
  </w:num>
  <w:num w:numId="20" w16cid:durableId="1289816170">
    <w:abstractNumId w:val="15"/>
  </w:num>
  <w:num w:numId="21" w16cid:durableId="1066490929">
    <w:abstractNumId w:val="25"/>
  </w:num>
  <w:num w:numId="22" w16cid:durableId="1472481103">
    <w:abstractNumId w:val="21"/>
  </w:num>
  <w:num w:numId="23" w16cid:durableId="1997420403">
    <w:abstractNumId w:val="23"/>
  </w:num>
  <w:num w:numId="24" w16cid:durableId="33312838">
    <w:abstractNumId w:val="20"/>
  </w:num>
  <w:num w:numId="25" w16cid:durableId="507404939">
    <w:abstractNumId w:val="16"/>
  </w:num>
  <w:num w:numId="26" w16cid:durableId="821845929">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3A0"/>
    <w:rsid w:val="00003A88"/>
    <w:rsid w:val="00003EC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4ABF"/>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32A"/>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DEA"/>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42"/>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000"/>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BA5"/>
    <w:rsid w:val="002326EC"/>
    <w:rsid w:val="00232BF5"/>
    <w:rsid w:val="002338A0"/>
    <w:rsid w:val="00233FF2"/>
    <w:rsid w:val="002341EB"/>
    <w:rsid w:val="0023423A"/>
    <w:rsid w:val="002346E7"/>
    <w:rsid w:val="00235900"/>
    <w:rsid w:val="00235A26"/>
    <w:rsid w:val="00235ADF"/>
    <w:rsid w:val="00235C87"/>
    <w:rsid w:val="00235FEF"/>
    <w:rsid w:val="00240136"/>
    <w:rsid w:val="00240736"/>
    <w:rsid w:val="00240C70"/>
    <w:rsid w:val="0024185D"/>
    <w:rsid w:val="002423DE"/>
    <w:rsid w:val="00242E29"/>
    <w:rsid w:val="00242F54"/>
    <w:rsid w:val="00243017"/>
    <w:rsid w:val="0024305D"/>
    <w:rsid w:val="00244442"/>
    <w:rsid w:val="0024498F"/>
    <w:rsid w:val="0024575F"/>
    <w:rsid w:val="00245A5B"/>
    <w:rsid w:val="002504F9"/>
    <w:rsid w:val="00250C39"/>
    <w:rsid w:val="00250E25"/>
    <w:rsid w:val="00251EE2"/>
    <w:rsid w:val="002524F3"/>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3FF"/>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DBF"/>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1C9D"/>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F08"/>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7BF"/>
    <w:rsid w:val="002D7CED"/>
    <w:rsid w:val="002E030E"/>
    <w:rsid w:val="002E06B0"/>
    <w:rsid w:val="002E15A0"/>
    <w:rsid w:val="002E1D9A"/>
    <w:rsid w:val="002E254D"/>
    <w:rsid w:val="002E362E"/>
    <w:rsid w:val="002E374B"/>
    <w:rsid w:val="002E3C61"/>
    <w:rsid w:val="002E3D87"/>
    <w:rsid w:val="002E5C63"/>
    <w:rsid w:val="002E6AE1"/>
    <w:rsid w:val="002E7264"/>
    <w:rsid w:val="002F1388"/>
    <w:rsid w:val="002F23BB"/>
    <w:rsid w:val="002F2FA8"/>
    <w:rsid w:val="002F311C"/>
    <w:rsid w:val="002F335A"/>
    <w:rsid w:val="002F5F01"/>
    <w:rsid w:val="002F6300"/>
    <w:rsid w:val="0030016D"/>
    <w:rsid w:val="003006E4"/>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69EB"/>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6933"/>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2A82"/>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51A"/>
    <w:rsid w:val="003C47E1"/>
    <w:rsid w:val="003C4CD4"/>
    <w:rsid w:val="003C66DD"/>
    <w:rsid w:val="003C6EB7"/>
    <w:rsid w:val="003C6ED6"/>
    <w:rsid w:val="003C7530"/>
    <w:rsid w:val="003C7B2D"/>
    <w:rsid w:val="003D0BBA"/>
    <w:rsid w:val="003D16A3"/>
    <w:rsid w:val="003D1B9C"/>
    <w:rsid w:val="003D1FBC"/>
    <w:rsid w:val="003D240A"/>
    <w:rsid w:val="003D2BE7"/>
    <w:rsid w:val="003D2ECF"/>
    <w:rsid w:val="003D37ED"/>
    <w:rsid w:val="003D395A"/>
    <w:rsid w:val="003D3FEB"/>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CB2"/>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A10"/>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6ED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559"/>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4F85"/>
    <w:rsid w:val="005553FE"/>
    <w:rsid w:val="005555FB"/>
    <w:rsid w:val="00556A6F"/>
    <w:rsid w:val="0055710E"/>
    <w:rsid w:val="00560433"/>
    <w:rsid w:val="00560464"/>
    <w:rsid w:val="00560623"/>
    <w:rsid w:val="0056090D"/>
    <w:rsid w:val="005615E4"/>
    <w:rsid w:val="00563757"/>
    <w:rsid w:val="00563842"/>
    <w:rsid w:val="00563B4D"/>
    <w:rsid w:val="00563CD8"/>
    <w:rsid w:val="005648F5"/>
    <w:rsid w:val="00564B99"/>
    <w:rsid w:val="00564D4C"/>
    <w:rsid w:val="00564E51"/>
    <w:rsid w:val="00564E5A"/>
    <w:rsid w:val="00565367"/>
    <w:rsid w:val="00565A82"/>
    <w:rsid w:val="00565D50"/>
    <w:rsid w:val="00566202"/>
    <w:rsid w:val="00566784"/>
    <w:rsid w:val="00566B03"/>
    <w:rsid w:val="00566D18"/>
    <w:rsid w:val="00567075"/>
    <w:rsid w:val="0056761E"/>
    <w:rsid w:val="00571574"/>
    <w:rsid w:val="005717C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0C37"/>
    <w:rsid w:val="005C194C"/>
    <w:rsid w:val="005C2667"/>
    <w:rsid w:val="005C295A"/>
    <w:rsid w:val="005C2C21"/>
    <w:rsid w:val="005C3B4F"/>
    <w:rsid w:val="005C4257"/>
    <w:rsid w:val="005C44D1"/>
    <w:rsid w:val="005C52A6"/>
    <w:rsid w:val="005C6812"/>
    <w:rsid w:val="005C6D2C"/>
    <w:rsid w:val="005C778C"/>
    <w:rsid w:val="005C7E7D"/>
    <w:rsid w:val="005D0CD7"/>
    <w:rsid w:val="005D0ED8"/>
    <w:rsid w:val="005D14DC"/>
    <w:rsid w:val="005D154E"/>
    <w:rsid w:val="005D1B57"/>
    <w:rsid w:val="005D1F55"/>
    <w:rsid w:val="005D2C56"/>
    <w:rsid w:val="005D2E4C"/>
    <w:rsid w:val="005D3FE0"/>
    <w:rsid w:val="005D47B9"/>
    <w:rsid w:val="005D557B"/>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5EB1"/>
    <w:rsid w:val="00647646"/>
    <w:rsid w:val="0065036F"/>
    <w:rsid w:val="00650ADD"/>
    <w:rsid w:val="00651CAA"/>
    <w:rsid w:val="00651D59"/>
    <w:rsid w:val="00652357"/>
    <w:rsid w:val="006525F5"/>
    <w:rsid w:val="00652D56"/>
    <w:rsid w:val="00653B49"/>
    <w:rsid w:val="0065581E"/>
    <w:rsid w:val="00655AEE"/>
    <w:rsid w:val="0065738F"/>
    <w:rsid w:val="006579C9"/>
    <w:rsid w:val="00657EB3"/>
    <w:rsid w:val="006601B8"/>
    <w:rsid w:val="00660683"/>
    <w:rsid w:val="00660EDA"/>
    <w:rsid w:val="00660FCF"/>
    <w:rsid w:val="006613CB"/>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BFB"/>
    <w:rsid w:val="00673184"/>
    <w:rsid w:val="00675422"/>
    <w:rsid w:val="006754FB"/>
    <w:rsid w:val="00675534"/>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943"/>
    <w:rsid w:val="00687C15"/>
    <w:rsid w:val="006909A7"/>
    <w:rsid w:val="006913AD"/>
    <w:rsid w:val="006917AF"/>
    <w:rsid w:val="006919C1"/>
    <w:rsid w:val="0069283D"/>
    <w:rsid w:val="00692A50"/>
    <w:rsid w:val="00693B34"/>
    <w:rsid w:val="00694B18"/>
    <w:rsid w:val="00694B30"/>
    <w:rsid w:val="00694B8A"/>
    <w:rsid w:val="00694C2D"/>
    <w:rsid w:val="00695978"/>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3BCA"/>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1BB6"/>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07F7B"/>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98"/>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BAC"/>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B51"/>
    <w:rsid w:val="00817095"/>
    <w:rsid w:val="008171AA"/>
    <w:rsid w:val="0082041F"/>
    <w:rsid w:val="00821A95"/>
    <w:rsid w:val="00822077"/>
    <w:rsid w:val="0082258A"/>
    <w:rsid w:val="00822A02"/>
    <w:rsid w:val="008231A9"/>
    <w:rsid w:val="0082357B"/>
    <w:rsid w:val="0082395F"/>
    <w:rsid w:val="00823B22"/>
    <w:rsid w:val="008254BC"/>
    <w:rsid w:val="00826332"/>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32"/>
    <w:rsid w:val="00860962"/>
    <w:rsid w:val="00860CBD"/>
    <w:rsid w:val="00860DE4"/>
    <w:rsid w:val="00860E69"/>
    <w:rsid w:val="00861CA3"/>
    <w:rsid w:val="00861DD6"/>
    <w:rsid w:val="00861F40"/>
    <w:rsid w:val="00863211"/>
    <w:rsid w:val="00863541"/>
    <w:rsid w:val="008646F4"/>
    <w:rsid w:val="00864778"/>
    <w:rsid w:val="00864F63"/>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183"/>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3EB"/>
    <w:rsid w:val="008A54AF"/>
    <w:rsid w:val="008A5C29"/>
    <w:rsid w:val="008A61A8"/>
    <w:rsid w:val="008A64CF"/>
    <w:rsid w:val="008A6799"/>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A92"/>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5F86"/>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A7C"/>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3C7E"/>
    <w:rsid w:val="0094553A"/>
    <w:rsid w:val="00947FC1"/>
    <w:rsid w:val="009502D2"/>
    <w:rsid w:val="009517E1"/>
    <w:rsid w:val="00951B46"/>
    <w:rsid w:val="00952862"/>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0D"/>
    <w:rsid w:val="00986C82"/>
    <w:rsid w:val="009911F3"/>
    <w:rsid w:val="00991319"/>
    <w:rsid w:val="00992FA5"/>
    <w:rsid w:val="0099311D"/>
    <w:rsid w:val="00993552"/>
    <w:rsid w:val="00993CD7"/>
    <w:rsid w:val="00994865"/>
    <w:rsid w:val="00995A6D"/>
    <w:rsid w:val="00995DAD"/>
    <w:rsid w:val="00995F4D"/>
    <w:rsid w:val="00996726"/>
    <w:rsid w:val="00996804"/>
    <w:rsid w:val="00996EF4"/>
    <w:rsid w:val="009973BE"/>
    <w:rsid w:val="00997849"/>
    <w:rsid w:val="00997920"/>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71"/>
    <w:rsid w:val="00A326BC"/>
    <w:rsid w:val="00A32801"/>
    <w:rsid w:val="00A339F3"/>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801"/>
    <w:rsid w:val="00A41972"/>
    <w:rsid w:val="00A41BCD"/>
    <w:rsid w:val="00A41D75"/>
    <w:rsid w:val="00A4224B"/>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2FFE"/>
    <w:rsid w:val="00A83FA7"/>
    <w:rsid w:val="00A84A88"/>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9777C"/>
    <w:rsid w:val="00AA0497"/>
    <w:rsid w:val="00AA0955"/>
    <w:rsid w:val="00AA19BE"/>
    <w:rsid w:val="00AA19C2"/>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18F"/>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706"/>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693"/>
    <w:rsid w:val="00B038AD"/>
    <w:rsid w:val="00B038CA"/>
    <w:rsid w:val="00B03B5E"/>
    <w:rsid w:val="00B03B92"/>
    <w:rsid w:val="00B046B1"/>
    <w:rsid w:val="00B04801"/>
    <w:rsid w:val="00B0481F"/>
    <w:rsid w:val="00B04BD5"/>
    <w:rsid w:val="00B05534"/>
    <w:rsid w:val="00B05C94"/>
    <w:rsid w:val="00B05D96"/>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A2F"/>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A35"/>
    <w:rsid w:val="00B66D30"/>
    <w:rsid w:val="00B674D4"/>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18AB"/>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ACB"/>
    <w:rsid w:val="00BE2E87"/>
    <w:rsid w:val="00BE38A5"/>
    <w:rsid w:val="00BE3B53"/>
    <w:rsid w:val="00BE3BC7"/>
    <w:rsid w:val="00BE4562"/>
    <w:rsid w:val="00BE5586"/>
    <w:rsid w:val="00BE5599"/>
    <w:rsid w:val="00BE725B"/>
    <w:rsid w:val="00BE7721"/>
    <w:rsid w:val="00BF094D"/>
    <w:rsid w:val="00BF0CB2"/>
    <w:rsid w:val="00BF1BF2"/>
    <w:rsid w:val="00BF1D36"/>
    <w:rsid w:val="00BF20CC"/>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7CC"/>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576"/>
    <w:rsid w:val="00C73E8B"/>
    <w:rsid w:val="00C74F5C"/>
    <w:rsid w:val="00C75C02"/>
    <w:rsid w:val="00C76BFE"/>
    <w:rsid w:val="00C77681"/>
    <w:rsid w:val="00C77D90"/>
    <w:rsid w:val="00C77E84"/>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76"/>
    <w:rsid w:val="00CC48BF"/>
    <w:rsid w:val="00CC5112"/>
    <w:rsid w:val="00CC5559"/>
    <w:rsid w:val="00CC5E15"/>
    <w:rsid w:val="00CC63BD"/>
    <w:rsid w:val="00CC6AA8"/>
    <w:rsid w:val="00CC6D21"/>
    <w:rsid w:val="00CC76FA"/>
    <w:rsid w:val="00CD03D0"/>
    <w:rsid w:val="00CD04D5"/>
    <w:rsid w:val="00CD1B5B"/>
    <w:rsid w:val="00CD3C27"/>
    <w:rsid w:val="00CD4084"/>
    <w:rsid w:val="00CD50AE"/>
    <w:rsid w:val="00CD59BF"/>
    <w:rsid w:val="00CD6E3C"/>
    <w:rsid w:val="00CD6EF7"/>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CF7BFC"/>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1F4D"/>
    <w:rsid w:val="00D32282"/>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2D9F"/>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B7A"/>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0EBB"/>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333"/>
    <w:rsid w:val="00E06458"/>
    <w:rsid w:val="00E074AC"/>
    <w:rsid w:val="00E07603"/>
    <w:rsid w:val="00E07CE0"/>
    <w:rsid w:val="00E10293"/>
    <w:rsid w:val="00E11427"/>
    <w:rsid w:val="00E1169A"/>
    <w:rsid w:val="00E11F41"/>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609"/>
    <w:rsid w:val="00E3095F"/>
    <w:rsid w:val="00E30B43"/>
    <w:rsid w:val="00E31870"/>
    <w:rsid w:val="00E319AB"/>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0268"/>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0043"/>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00A"/>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3C3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252"/>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BE5"/>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0C6"/>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CB439-1ACA-4D7D-A1B1-87D801BA3228}"/>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Symdeko SGM 2516-A</vt:lpstr>
    </vt:vector>
  </TitlesOfParts>
  <Company>CVS Caremark</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Symdeko SGM 2516-A</dc:title>
  <dc:subject>Symdeko SGM 2516-A</dc:subject>
  <dc:creator>CVS Caremark</dc:creator>
  <cp:keywords/>
  <cp:lastModifiedBy>Reynoso, Victor H</cp:lastModifiedBy>
  <cp:revision>101</cp:revision>
  <cp:lastPrinted>2018-01-09T05:01:00Z</cp:lastPrinted>
  <dcterms:created xsi:type="dcterms:W3CDTF">2024-04-05T15:29:00Z</dcterms:created>
  <dcterms:modified xsi:type="dcterms:W3CDTF">2025-05-05T19:40:00Z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335900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